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rFonts w:ascii="Aptos Display" w:hAnsi="Aptos Display"/>
          <w:b/>
          <w:color w:val="F97316"/>
          <w:sz w:val="22"/>
        </w:rPr>
        <w:t>SUSTAINFINITY</w:t>
      </w:r>
    </w:p>
    <w:p>
      <w:pPr>
        <w:pStyle w:val="Title"/>
      </w:pPr>
      <w:r>
        <w:t>Hizmet Şartları</w:t>
      </w:r>
    </w:p>
    <w:p>
      <w:r>
        <w:rPr>
          <w:color w:val="666666"/>
          <w:sz w:val="24"/>
        </w:rPr>
        <w:t>Sustainfinity</w:t>
      </w:r>
    </w:p>
    <w:p>
      <w:pPr>
        <w:spacing w:before="240"/>
      </w:pPr>
      <w:r>
        <w:rPr>
          <w:b/>
          <w:sz w:val="20"/>
        </w:rPr>
        <w:t>Yürürlük Tarihi: 18 Ağustos 2026</w:t>
      </w:r>
    </w:p>
    <w:tbl>
      <w:tblPr>
        <w:tblW w:type="auto" w:w="0"/>
        <w:tblLayout w:type="fixed"/>
        <w:tblLook w:firstColumn="1" w:firstRow="1" w:lastColumn="0" w:lastRow="0" w:noHBand="0" w:noVBand="1" w:val="04A0"/>
      </w:tblPr>
      <w:tblGrid>
        <w:gridCol w:w="9216"/>
      </w:tblGrid>
      <w:tr>
        <w:tc>
          <w:tcPr>
            <w:tcW w:type="dxa" w:w="9792"/>
            <w:shd w:fill="F97316"/>
          </w:tcPr>
          <w:p>
            <w:r/>
          </w:p>
        </w:tc>
      </w:tr>
    </w:tbl>
    <w:p/>
    <w:p>
      <w:pPr>
        <w:pStyle w:val="Heading1"/>
      </w:pPr>
      <w:r>
        <w:t>1. Bu Şartlar Hakkında</w:t>
      </w:r>
    </w:p>
    <w:p>
      <w:r>
        <w:t>Bu Hizmet Şartları ("Şartlar"), Sustainfinity internet sitelerine, platformuna, yazılımına, uygulamalarına ve ilgili dijital hizmetlerine (birlikte "Hizmetler") erişimi ve bunların kullanımını düzenler.</w:t>
      </w:r>
    </w:p>
    <w:p>
      <w:r>
        <w:t>Hizmetler, Sustainfinity markası altında faaliyet gösteren INNOEM LTD ("InnoEM", "Sustainfinity", "biz", "bize" veya "bizim") tarafından sağlanmaktadır.</w:t>
      </w:r>
    </w:p>
    <w:p>
      <w:r>
        <w:t>INNOEM LTD, 17383897 şirket numarasıyla İngiltere ve Galler'de kayıtlı olup kayıtlı adresi Parade Enterprise Centre, Office 2, Chester, CH1 5HN, United Kingdom'dır.</w:t>
      </w:r>
    </w:p>
    <w:p>
      <w:r>
        <w:t>Bir hesap oluşturarak, Hizmetlere erişerek veya Hizmetleri kullanarak bu Şartları kabul etmiş olursunuz.</w:t>
      </w:r>
    </w:p>
    <w:p>
      <w:r>
        <w:t>Hizmetleri bir kuruluş adına kullanıyorsanız söz konusu kuruluşu bu Şartlarla bağlama yetkisine sahip olduğunuzu beyan etmiş olursunuz. Bu durumda "Müşteri" veya "siz" ifadeleri ilgili kuruluşu da kapsar.</w:t>
      </w:r>
    </w:p>
    <w:p>
      <w:r>
        <w:t>Hizmetler ticari ve profesyonel kullanım amacıyla sunulmaktadır ve temel olarak kişisel veya hane halkı tüketici kullanımına yönelik değildir.</w:t>
      </w:r>
    </w:p>
    <w:p>
      <w:pPr>
        <w:pStyle w:val="Heading1"/>
      </w:pPr>
      <w:r>
        <w:t>2. Sözleşmesel Belgeler ve Öncelik Sırası</w:t>
      </w:r>
    </w:p>
    <w:p>
      <w:r>
        <w:t>Müşteriler Sustainfinity'ye sipariş formu, teklif, iş tanımı, abonelik sözleşmesi, ana hizmet sözleşmesi veya Sustainfinity ya da bir InnoEM tüzel kişiliğiyle imzalanan başka bir yazılı sözleşme kapsamında erişebilir.</w:t>
      </w:r>
    </w:p>
    <w:p>
      <w:r>
        <w:t>Ayrıca imzalanmış bir sözleşmenin bu Şartlarla açıkça çelişmesi halinde, çelişen husus bakımından imzalanmış sözleşme öncelikli olacaktır.</w:t>
      </w:r>
    </w:p>
    <w:p>
      <w:r>
        <w:t>Sustainfinity'nin Müşteri adına kişisel veri işlediği durumlarda ayrıca bir Veri İşleme Sözleşmesi uygulanabilir.</w:t>
      </w:r>
    </w:p>
    <w:p>
      <w:r>
        <w:t>Danışmanlık, eğitim, mentorluk, raporlama veya diğer profesyonel hizmetler ayrı bir teklif, iş tanımı veya sözleşmeye tabi olabilir.</w:t>
      </w:r>
    </w:p>
    <w:p>
      <w:pPr>
        <w:pStyle w:val="Heading1"/>
      </w:pPr>
      <w:r>
        <w:t>3. Hesaplar ve Yetkili Kullanıcılar</w:t>
      </w:r>
    </w:p>
    <w:p>
      <w:r>
        <w:t>Müşteriler hesap oluştururken ve hesap bilgilerini güncellerken doğru ve güncel bilgiler sağlamalıdır.</w:t>
      </w:r>
    </w:p>
    <w:p>
      <w:r>
        <w:t>Hesaplar yalnızca yetkili kullanıcılar tarafından kullanılabilir.</w:t>
      </w:r>
    </w:p>
    <w:p>
      <w:r>
        <w:t>Kullanıcılar giriş bilgilerini gizli tutmalı ve kişisel giriş bilgilerini yetkisiz kişilerle paylaşmamalıdır.</w:t>
      </w:r>
    </w:p>
    <w:p>
      <w:r>
        <w:t>Sustainfinity'nin kendi yükümlülüklerini ihlal etmesinden kaynaklanan durumlar haricinde, Müşteri kendi kontrolündeki hesaplar üzerinden gerçekleştirilen faaliyetlerden sorumludur.</w:t>
      </w:r>
    </w:p>
    <w:p>
      <w:r>
        <w:t>Hesabınıza yetkisiz erişildiğini, giriş bilgilerinin ele geçirildiğini veya hesabınızı etkileyen başka bir güvenlik olayı olduğunu fark etmeniz halinde bizi derhal bilgilendirmeniz gerekir.</w:t>
      </w:r>
    </w:p>
    <w:p>
      <w:pPr>
        <w:pStyle w:val="Heading1"/>
      </w:pPr>
      <w:r>
        <w:t>4. Hizmetleri Kullanma Hakkı</w:t>
      </w:r>
    </w:p>
    <w:p>
      <w:r>
        <w:t>Bu Şartlara, ilgili ücretlerin ödenmesine ve uygulanabilir abonelik sınırlarına tabi olarak Sustainfinity, Müşteriye ilgili abonelik süresi boyunca Hizmetlere erişmesi ve bunları kendi dahili ticari faaliyetleri ve sürdürülebilirlik yönetimi amaçları için kullanması amacıyla sınırlı, münhasır olmayan, devredilemez ve alt lisans verilemez bir kullanım hakkı tanır.</w:t>
      </w:r>
    </w:p>
    <w:p>
      <w:r>
        <w:t>Sustainfinity yazılımı veya platformuna ilişkin herhangi bir mülkiyet hakkı Müşteriye devredilmez.</w:t>
      </w:r>
    </w:p>
    <w:p>
      <w:pPr>
        <w:pStyle w:val="Heading1"/>
      </w:pPr>
      <w:r>
        <w:t>5. Müşteri İçeriği</w:t>
      </w:r>
    </w:p>
    <w:p>
      <w:r>
        <w:t>"Müşteri İçeriği", Müşteri tarafından Hizmetler aracılığıyla sunulan veya Müşterinin sağladığı bilgilerden üretilen verileri, belgeleri, metinleri, dosyaları, emisyon verilerini, sürdürülebilirlik metriklerini, anket bilgilerini, raporları, görselleri ve diğer materyalleri ifade eder.</w:t>
      </w:r>
    </w:p>
    <w:p>
      <w:r>
        <w:t>Sustainfinity ile Müşteri arasındaki ilişkide Müşteri, Müşteri İçeriği üzerindeki mülkiyetini korur.</w:t>
      </w:r>
    </w:p>
    <w:p>
      <w:r>
        <w:t>Müşteri, Sustainfinity'ye Müşteri İçeriğini yalnızca Hizmetlerin sunulması, güvenliğinin sağlanması, bakımı ve desteklenmesi ile sözleşmesel yükümlülüklerimizin yerine getirilmesi için makul ölçüde gerekli olduğu şekilde barındırma, kopyalama, aktarma, işleme, analiz etme ve başka şekilde kullanma konusunda sınırlı bir hak tanır.</w:t>
      </w:r>
    </w:p>
    <w:p>
      <w:r>
        <w:t>Müşteri, Müşteri İçeriğinin doğruluğundan, kalitesinden, hukuka uygunluğundan ve uygunluğundan ve bu içeriğin Hizmetler aracılığıyla sunulması ve işlenmesi için gerekli tüm haklara ve hukuki dayanaklara sahip olmasından sorumludur.</w:t>
      </w:r>
    </w:p>
    <w:p>
      <w:pPr>
        <w:pStyle w:val="Heading1"/>
      </w:pPr>
      <w:r>
        <w:t>6. Veri Koruma</w:t>
      </w:r>
    </w:p>
    <w:p>
      <w:r>
        <w:t>Tarafların her biri kendi faaliyetlerine uygulanabilir veri koruma mevzuatına uymakla yükümlüdür.</w:t>
      </w:r>
    </w:p>
    <w:p>
      <w:r>
        <w:t>Sustainfinity'nin Müşteri adına kişisel veri işlediği durumlarda Sustainfinity, Müşterinin hukuka uygun talimatları ve uygulanabilir Veri İşleme Sözleşmesi doğrultusunda hareket eder.</w:t>
      </w:r>
    </w:p>
    <w:p>
      <w:r>
        <w:t>Kendi amaçlarımız doğrultusunda gerçekleştirdiğimiz kişisel veri işleme faaliyetleri Sustainfinity Gizlilik Politikasında açıklanmaktadır.</w:t>
      </w:r>
    </w:p>
    <w:p>
      <w:pPr>
        <w:pStyle w:val="Heading1"/>
      </w:pPr>
      <w:r>
        <w:t>7. Yapay Zeka Destekli Özellikler</w:t>
      </w:r>
    </w:p>
    <w:p>
      <w:r>
        <w:t>Hizmetler analiz, içerik oluşturma, sürdürülebilirlik stratejisi, karbon raporlaması ve diğer işlevlere yönelik yapay zeka destekli özellikler içerebilir.</w:t>
      </w:r>
    </w:p>
    <w:p>
      <w:r>
        <w:t>Yapay zeka tarafından oluşturulan çıktılar hata, eksiklik, yanlışlık veya eksik bilgi içerebilir.</w:t>
      </w:r>
    </w:p>
    <w:p>
      <w:r>
        <w:t>Müşteri, yapay zeka tarafından oluşturulan çıktılara dayanmadan, bu çıktıları yayınlamadan, sunmadan veya başka şekilde kullanmadan önce bunları incelemek ve doğrulamaktan sorumludur.</w:t>
      </w:r>
    </w:p>
    <w:p>
      <w:r>
        <w:t>Yapay zeka tarafından oluşturulan çıktılar, gerekli olduğu durumlarda profesyonel değerlendirme, bağımsız doğrulama, hukuki danışmanlık, muhasebe danışmanlığı, güvence veya diğer uzman incelemelerinin yerine geçmez.</w:t>
      </w:r>
    </w:p>
    <w:p>
      <w:r>
        <w:t>Müşteriler hukuki, düzenleyici, finansal, güvenlik açısından kritik veya diğer yüksek etkili kararları yalnızca yapay zeka tarafından oluşturulan içeriklere dayandırmamalıdır.</w:t>
      </w:r>
    </w:p>
    <w:p>
      <w:pPr>
        <w:pStyle w:val="Heading1"/>
      </w:pPr>
      <w:r>
        <w:t>8. Sürdürülebilirlik, Karbon ve Raporlama Çıktıları</w:t>
      </w:r>
    </w:p>
    <w:p>
      <w:r>
        <w:t>Sustainfinity, sürdürülebilirlik yönetimi, veri toplama, analiz, karbon hesaplama ve raporlama süreçlerini desteklemek amacıyla tasarlanmış araçlar sunar.</w:t>
      </w:r>
    </w:p>
    <w:p>
      <w:r>
        <w:t>Çıktıların doğruluğu Müşteri İçeriğinin tamlığı ve doğruluğu, kullanılan varsayımlar, emisyon faktörleri, metodolojiler, raporlama sınırları ve kullanıcı seçimleri dahil olmak üzere çeşitli unsurlara bağlıdır.</w:t>
      </w:r>
    </w:p>
    <w:p>
      <w:r>
        <w:t>Sürdürülebilirlik raporlarında, karbon envanterlerinde, düzenleyici açıklamalarda ve diğer dış yayınlarda kullanılan bilgilerin incelenmesi ve onaylanmasından Müşteri sorumludur.</w:t>
      </w:r>
    </w:p>
    <w:p>
      <w:r>
        <w:t>Yazılı olarak açıkça kararlaştırılmadığı sürece Sustainfinity'nin kullanılması tek başına herhangi bir raporlama çerçevesi, düzenleme veya standarda ilişkin denetim, güvence hizmeti, sertifikasyon veya hukuki uygunluk tespiti oluşturmaz.</w:t>
      </w:r>
    </w:p>
    <w:p>
      <w:r>
        <w:t>Hizmetlerde GRI Standards, GHG Protocol, IFRS Sustainability Disclosure Standards, TSRS veya diğer çerçeve ve standartlara yapılan atıflar ilgili özelliklerin amaçlanan işlevini veya uyum yaklaşımını ifade eder ve Müşterinin açıklamalarının Müşteri için geçerli olan tüm gereklilikleri otomatik olarak karşılayacağını garanti etmez.</w:t>
      </w:r>
    </w:p>
    <w:p>
      <w:pPr>
        <w:pStyle w:val="Heading1"/>
      </w:pPr>
      <w:r>
        <w:t>9. Kabul Edilebilir Kullanım</w:t>
      </w:r>
    </w:p>
    <w:p>
      <w:r>
        <w:t>Hizmetleri aşağıdaki amaç veya yöntemlerle kullanamazsınız:</w:t>
      </w:r>
    </w:p>
    <w:p>
      <w:r>
        <w:t>• hukuka aykırı, dolandırıcılık içeren veya aldatıcı amaçlarla;</w:t>
      </w:r>
    </w:p>
    <w:p>
      <w:r>
        <w:t>• kullanma veya işleme hakkına sahip olmadığınız içerikleri yüklemek için;</w:t>
      </w:r>
    </w:p>
    <w:p>
      <w:r>
        <w:t>• Hizmetlere veya başka bir kullanıcının hesabına ya da verilerine yetkisiz erişim elde etmeye çalışmak için;</w:t>
      </w:r>
    </w:p>
    <w:p>
      <w:r>
        <w:t>• Hizmetlerin güvenliğine, bütünlüğüne veya çalışmasına müdahale etmek ya da bunları aksatmak için;</w:t>
      </w:r>
    </w:p>
    <w:p>
      <w:r>
        <w:t>• zararlı kod, kötü amaçlı yazılım veya zararlı teknolojiler kullanmak için;</w:t>
      </w:r>
    </w:p>
    <w:p>
      <w:r>
        <w:t>• mevzuatın bu tür kısıtlamaları yasakladığı durumlar dışında Hizmetleri tersine mühendislik, kaynak koda dönüştürme veya kaynak kodunu elde etme girişimleri için;</w:t>
      </w:r>
    </w:p>
    <w:p>
      <w:r>
        <w:t>• bizim açıkça sağladığımız veya izin verdiğimiz işlevler dışında Hizmetlerin önemli bölümlerini otomatik yöntemlerle toplamak veya çıkarmak için;</w:t>
      </w:r>
    </w:p>
    <w:p>
      <w:r>
        <w:t>• abonelik, kullanım, güvenlik veya erişim sınırlarını aşmak için;</w:t>
      </w:r>
    </w:p>
    <w:p>
      <w:r>
        <w:t>• fikri mülkiyet, gizlilik veya diğer hakları ihlal etmek için; veya</w:t>
      </w:r>
    </w:p>
    <w:p>
      <w:r>
        <w:t>• yetkisiz üçüncü kişilerin hesabınızı kullanarak Hizmetlere erişmesine izin vermek için.</w:t>
      </w:r>
    </w:p>
    <w:p>
      <w:pPr>
        <w:pStyle w:val="Heading1"/>
      </w:pPr>
      <w:r>
        <w:t>10. Abonelik Planları, Ücretler ve Ödeme</w:t>
      </w:r>
    </w:p>
    <w:p>
      <w:r>
        <w:t>Belirli Hizmetlere erişim ücretli abonelik veya ayrıca satın alınan hizmet gerektirebilir.</w:t>
      </w:r>
    </w:p>
    <w:p>
      <w:r>
        <w:t>Geçerli özellikler, kullanım sınırları, abonelik süresi, ücretler, ödeme düzenlemeleri ve diğer ticari şartlar ilgili sipariş formunda, teklifte veya sözleşmede belirtilir.</w:t>
      </w:r>
    </w:p>
    <w:p>
      <w:r>
        <w:t>İlgili sözleşmede aksi belirtilmediği sürece ücretlere uygulanabilir vergiler dahil değildir.</w:t>
      </w:r>
    </w:p>
    <w:p>
      <w:r>
        <w:t>İtiraz edilmeyen tutarların vadesinde ödenmemesi, ilgili sözleşme veya mevzuat kapsamında gerekli bildirim veya düzeltme süresinin ardından erişimin askıya alınmasına veya sona erdirilmesine yol açabilir.</w:t>
      </w:r>
    </w:p>
    <w:p>
      <w:r>
        <w:t>Yenileme koşulları ilgili sipariş formu veya sözleşme tarafından düzenlenir.</w:t>
      </w:r>
    </w:p>
    <w:p>
      <w:pPr>
        <w:pStyle w:val="Heading1"/>
      </w:pPr>
      <w:r>
        <w:t>11. Hizmetlerde Yapılan Değişiklikler</w:t>
      </w:r>
    </w:p>
    <w:p>
      <w:r>
        <w:t>Sustainfinity'yi sürekli olarak geliştiriyor ve bireysel özelliklerde değişiklik yapabiliyor, bunları iyileştirebiliyor, değiştirebiliyor veya sonlandırabiliyoruz.</w:t>
      </w:r>
    </w:p>
    <w:p>
      <w:r>
        <w:t>Makul bildirimde bulunmadan mevcut bir abonelik süresi içinde ücretli bir Hizmetin temel işlevlerini önemli ölçüde azaltmamak için makul çabayı gösteririz.</w:t>
      </w:r>
    </w:p>
    <w:p>
      <w:r>
        <w:t>Güvenlik, hukuki uyum veya kötüye kullanımın önlenmesi amacıyla gerekli olan değişiklikler makul ölçüde gerekli olduğu durumlarda önceden bildirim yapılmaksızın uygulanabilir.</w:t>
      </w:r>
    </w:p>
    <w:p>
      <w:pPr>
        <w:pStyle w:val="Heading1"/>
      </w:pPr>
      <w:r>
        <w:t>12. Kullanılabilirlik ve Bakım</w:t>
      </w:r>
    </w:p>
    <w:p>
      <w:r>
        <w:t>Hizmetlere güvenilir erişim sağlamayı hedefleriz ancak ayrıca yazılı olarak belirli bir hizmet seviyesi taahhüdü verilmediği sürece Hizmetlerin kesintisiz veya tamamen hatasız olacağını garanti etmeyiz.</w:t>
      </w:r>
    </w:p>
    <w:p>
      <w:r>
        <w:t>Planlı bakım, acil bakım, altyapı arızaları, üçüncü taraf hizmetler, güvenlik olayları veya makul kontrolümüz dışındaki durumlar nedeniyle Hizmetlere zaman zaman erişilemeyebilir.</w:t>
      </w:r>
    </w:p>
    <w:p>
      <w:pPr>
        <w:pStyle w:val="Heading1"/>
      </w:pPr>
      <w:r>
        <w:t>13. Üçüncü Taraf Hizmetleri</w:t>
      </w:r>
    </w:p>
    <w:p>
      <w:r>
        <w:t>Belirli işlevler üçüncü taraf ürünlere, platformlara, veri kaynaklarına veya hizmet sağlayıcılara bağlı olabilir veya bunlarla entegre çalışabilir.</w:t>
      </w:r>
    </w:p>
    <w:p>
      <w:r>
        <w:t>Üçüncü taraf hizmetleri kendi şartlarına ve gizlilik politikalarına tabi olabilir.</w:t>
      </w:r>
    </w:p>
    <w:p>
      <w:r>
        <w:t>Sustainfinity, makul kontrolümüz dışında olan bağımsız üçüncü taraf ürün veya hizmetlerinden sorumlu değildir.</w:t>
      </w:r>
    </w:p>
    <w:p>
      <w:pPr>
        <w:pStyle w:val="Heading1"/>
      </w:pPr>
      <w:r>
        <w:t>14. Fikri Mülkiyet</w:t>
      </w:r>
    </w:p>
    <w:p>
      <w:r>
        <w:t>Sustainfinity ve lisans verenleri, Müşteri İçeriği hariç olmak üzere yazılım, kaynak kodu, arayüzler, veri tabanları, tasarımlar, metodolojiler, dokümantasyon, ticari markalar, logolar ve diğer fikri mülkiyet dahil Hizmetlere ilişkin tüm hakları ve menfaatleri saklı tutar.</w:t>
      </w:r>
    </w:p>
    <w:p>
      <w:r>
        <w:t>Bu Şartlar Müşteriye Sustainfinity'nin fikri mülkiyeti üzerinde herhangi bir mülkiyet hakkı vermez.</w:t>
      </w:r>
    </w:p>
    <w:p>
      <w:r>
        <w:t>Müşteri, bu Şartlar, ilgili bir sözleşme veya mevzuat tarafından açıkça izin verilmedikçe Sustainfinity fikri mülkiyetini kopyalayamaz, çoğaltamaz, dağıtamaz, satamaz, lisanslayamaz veya bundan türev ürünler oluşturamaz.</w:t>
      </w:r>
    </w:p>
    <w:p>
      <w:pPr>
        <w:pStyle w:val="Heading1"/>
      </w:pPr>
      <w:r>
        <w:t>15. Geri Bildirim</w:t>
      </w:r>
    </w:p>
    <w:p>
      <w:r>
        <w:t>Hizmetler hakkında gönüllü olarak geri bildirim, öneri veya fikir sunmanız halinde, sizi tanımlamamak veya gizli bilgilerinizi izinsiz açıklamamak koşuluyla bu geri bildirimi herhangi bir kısıtlama veya ödeme olmaksızın kullanma hakkını bize vermiş olursunuz.</w:t>
      </w:r>
    </w:p>
    <w:p>
      <w:pPr>
        <w:pStyle w:val="Heading1"/>
      </w:pPr>
      <w:r>
        <w:t>16. Gizlilik</w:t>
      </w:r>
    </w:p>
    <w:p>
      <w:r>
        <w:t>Taraflardan her biri diğer tarafa ait gizli bilgilere erişebilir.</w:t>
      </w:r>
    </w:p>
    <w:p>
      <w:r>
        <w:t>Gizli bilgiyi alan taraf, söz konusu bilgiyi yalnızca ticari ilişkiyle ilgili amaçlarla kullanmalı ve yetkisiz kullanım veya açıklamayı önlemek için makul tedbirler almalıdır.</w:t>
      </w:r>
    </w:p>
    <w:p>
      <w:r>
        <w:t>Gizlilik yükümlülüğü, herhangi bir ihlal olmaksızın kamuya açık hale gelen, açıklanmadan önce alan tarafça hukuka uygun olarak bilinen, gizli bilgi kullanılmadan bağımsız olarak geliştirilen veya başka bir kaynaktan gizlilik kısıtlaması olmaksızın hukuka uygun şekilde elde edilen bilgiler için uygulanmaz.</w:t>
      </w:r>
    </w:p>
    <w:p>
      <w:r>
        <w:t>Mevzuat, düzenleme veya yetkili bir makamın geçerli kararı gerektirdiğinde bilgiler açıklanabilir.</w:t>
      </w:r>
    </w:p>
    <w:p>
      <w:pPr>
        <w:pStyle w:val="Heading1"/>
      </w:pPr>
      <w:r>
        <w:t>17. Askıya Alma</w:t>
      </w:r>
    </w:p>
    <w:p>
      <w:r>
        <w:t>Aşağıdaki durumlarda makul ölçüde gerekli olması halinde Hizmetlerin tamamına veya bir bölümüne erişimi askıya alabiliriz:</w:t>
      </w:r>
    </w:p>
    <w:p>
      <w:r>
        <w:t>• bu Şartların veya uygulanabilir başka bir sözleşmenin esaslı şekilde ihlal edilmesi;</w:t>
      </w:r>
    </w:p>
    <w:p>
      <w:r>
        <w:t>• geçerli ödeme süresinden sonra ücretlerin ödenmemesi;</w:t>
      </w:r>
    </w:p>
    <w:p>
      <w:r>
        <w:t>• Hizmetlerin kullanımının önemli bir güvenlik riski oluşturması;</w:t>
      </w:r>
    </w:p>
    <w:p>
      <w:r>
        <w:t>• dolandırıcılık, hukuka aykırı faaliyet veya yetkisiz erişim konusunda makul şüphemiz bulunması;</w:t>
      </w:r>
    </w:p>
    <w:p>
      <w:r>
        <w:t>• Hizmetlerin sunulmaya devam edilmesinin uygulanabilir mevzuata veya bağlayıcı bir düzenleyici gerekliliğe aykırı olması; veya</w:t>
      </w:r>
    </w:p>
    <w:p>
      <w:r>
        <w:t>• Hizmetleri, Sustainfinity'yi, Müşteriyi veya üçüncü kişileri önemli bir zarardan korumak için askıya almanın gerekli olması.</w:t>
      </w:r>
    </w:p>
    <w:p>
      <w:r>
        <w:t>Makul ölçüde mümkün olduğunda askıya alma konusunda bildirimde bulunur ve sorunun giderilmesi için fırsat sağlarız.</w:t>
      </w:r>
    </w:p>
    <w:p>
      <w:pPr>
        <w:pStyle w:val="Heading1"/>
      </w:pPr>
      <w:r>
        <w:t>18. Fesih</w:t>
      </w:r>
    </w:p>
    <w:p>
      <w:r>
        <w:t>Ücretli aboneliklerin süresi ve feshi ilgili sipariş formu veya sözleşme tarafından düzenlenir.</w:t>
      </w:r>
    </w:p>
    <w:p>
      <w:r>
        <w:t>Giderilmesi mümkün olan esaslı bir ihlalin makul düzeltme süresi içinde giderilmemesi halinde erişimi sona erdirebilir veya askıya alabiliriz.</w:t>
      </w:r>
    </w:p>
    <w:p>
      <w:r>
        <w:t>Fesih üzerine, ilgili sözleşmede veri aktarımı veya geçiş için açıkça öngörülen haklar haricinde Müşterinin Hizmetlere erişme ve Hizmetleri kullanma hakkı sona erer.</w:t>
      </w:r>
    </w:p>
    <w:p>
      <w:r>
        <w:t>Fikri mülkiyet, gizlilik, tahakkuk etmiş ödeme yükümlülükleri, sorumluluk reddi ve sorumluluk sınırlamaları dahil olmak üzere niteliği gereği fesih sonrasında da devam etmesi gereken hükümler yürürlükte kalır.</w:t>
      </w:r>
    </w:p>
    <w:p>
      <w:pPr>
        <w:pStyle w:val="Heading1"/>
      </w:pPr>
      <w:r>
        <w:t>19. Fesih Sonrasında Veriler</w:t>
      </w:r>
    </w:p>
    <w:p>
      <w:r>
        <w:t>İlgili sözleşmeye ve Hizmetlerin teknik imkanlarına bağlı olarak Müşteriler abonelik süresi içerisinde veya kararlaştırılmış fesih sonrası süre boyunca mevcut Müşteri İçeriğinin dışa aktarılmasını talep edebilir.</w:t>
      </w:r>
    </w:p>
    <w:p>
      <w:r>
        <w:t>Geçerli saklama süresinin sonunda, mevzuat uyarınca saklanması gerekenler hariç olmak üzere Müşteri İçeriği silinebilir veya anonim hale getirilebilir.</w:t>
      </w:r>
    </w:p>
    <w:p>
      <w:r>
        <w:t>Müşteriler, saklamak istedikleri bilgileri uygulanabilir silme süreleri sona ermeden önce dışa aktarmaktan sorumludur.</w:t>
      </w:r>
    </w:p>
    <w:p>
      <w:pPr>
        <w:pStyle w:val="Heading1"/>
      </w:pPr>
      <w:r>
        <w:t>20. Garantiler ve Sorumluluk Reddi</w:t>
      </w:r>
    </w:p>
    <w:p>
      <w:r>
        <w:t>Hizmetleri makul özen ve yetkinlikle sunarız.</w:t>
      </w:r>
    </w:p>
    <w:p>
      <w:r>
        <w:t>Bu Şartlarda veya ayrı bir yazılı sözleşmede açıkça belirtilenler dışında ve uygulanabilir mevzuatın izin verdiği en geniş ölçüde Hizmetler "mevcut olduğu şekilde" sunulur.</w:t>
      </w:r>
    </w:p>
    <w:p>
      <w:r>
        <w:t>Hizmetlerin kesintisiz, tamamen hatasız veya her Müşterinin kendine özgü düzenleyici veya raporlama gerekliliklerine uygun olacağını garanti etmeyiz.</w:t>
      </w:r>
    </w:p>
    <w:p>
      <w:r>
        <w:t>Bu Şartlardaki hiçbir hüküm hukuken hariç tutulması mümkün olmayan garanti veya hakları ortadan kaldırmaz.</w:t>
      </w:r>
    </w:p>
    <w:p>
      <w:pPr>
        <w:pStyle w:val="Heading1"/>
      </w:pPr>
      <w:r>
        <w:t>21. Sorumluluğun Sınırlandırılması</w:t>
      </w:r>
    </w:p>
    <w:p>
      <w:r>
        <w:t>Bu Şartlardaki hiçbir hüküm, dolandırıcılık veya hileli beyan ya da uygulanabilir mevzuatın sınırlandırılmasına izin vermediği durumlarda ihmal sonucunda meydana gelen ölüm veya kişisel yaralanma dahil olmak üzere hukuken sınırlandırılması veya hariç tutulması mümkün olmayan sorumlulukları sınırlandırmaz veya ortadan kaldırmaz.</w:t>
      </w:r>
    </w:p>
    <w:p>
      <w:r>
        <w:t>Yukarıdaki hüküm saklı kalmak kaydıyla taraflardan hiçbiri, mevzuat tarafından yasaklanan veya yazılı bir sözleşmeyle açıkça farklı şekilde düzenlenen durumlar dışında, Hizmetlerin kullanımından kaynaklanan dolaylı, arızi, özel veya sonuç niteliğindeki zararlardan veya kar, gelir, ticari fırsat, itibar veya beklenen tasarruf kaybından diğer tarafa karşı sorumlu olmaz.</w:t>
      </w:r>
    </w:p>
    <w:p>
      <w:r>
        <w:t>Yazılı olarak aksi kararlaştırılmadığı sürece Sustainfinity'nin Hizmetlerden kaynaklanan veya Hizmetlerle bağlantılı toplam sorumluluğu, herhangi bir on iki aylık dönem için, talebe yol açan olaydan hemen önceki on iki ay içerisinde Müşteri tarafından etkilenen Hizmetler için ödenmiş veya ödenmesi gereken toplam ücretleri aşamaz.</w:t>
      </w:r>
    </w:p>
    <w:p>
      <w:r>
        <w:t>Bu bölümdeki sınırlamalar uygulanabilir mevzuatın izin verdiği en geniş ölçüde uygulanır.</w:t>
      </w:r>
    </w:p>
    <w:p>
      <w:pPr>
        <w:pStyle w:val="Heading1"/>
      </w:pPr>
      <w:r>
        <w:t>22. Mücbir Sebep</w:t>
      </w:r>
    </w:p>
    <w:p>
      <w:r>
        <w:t>Taraflardan hiçbiri doğal afetler, yaygın internet veya telekomünikasyon kesintileri, kamu otoritelerinin işlemleri, savaş, toplumsal olaylar, iş uyuşmazlıkları, büyük siber olaylar veya kritik üçüncü taraf altyapısındaki arızalar dahil olmak üzere makul kontrolü dışındaki olaylardan kaynaklanan gecikme veya yükümlülüklerin yerine getirilememesinden sorumlu olmaz.</w:t>
      </w:r>
    </w:p>
    <w:p>
      <w:r>
        <w:t>Bu hüküm daha önce sağlanmış Hizmetlere ilişkin ödeme yükümlülüklerini ortadan kaldırmaz.</w:t>
      </w:r>
    </w:p>
    <w:p>
      <w:pPr>
        <w:pStyle w:val="Heading1"/>
      </w:pPr>
      <w:r>
        <w:t>23. Bu Şartlardaki Değişiklikler</w:t>
      </w:r>
    </w:p>
    <w:p>
      <w:r>
        <w:t>Bu Şartları zaman zaman güncelleyebiliriz.</w:t>
      </w:r>
    </w:p>
    <w:p>
      <w:r>
        <w:t>Güncel sürüm ve yürürlük tarihi internet sitemizde yayınlanacaktır.</w:t>
      </w:r>
    </w:p>
    <w:p>
      <w:r>
        <w:t>Bir değişikliğin mevcut ücretli aboneliği önemli ölçüde etkilemesi halinde, uygulanabilir mevzuat veya ilgili sözleşmenin gerektirdiği durumlarda makul bir bildirimde bulunuruz.</w:t>
      </w:r>
    </w:p>
    <w:p>
      <w:r>
        <w:t>Revize edilmiş Şartların yürürlüğe girmesinden sonra Hizmetlerin kullanılmaya devam edilmesi, mevzuatın izin verdiği ölçüde revize edilmiş Şartların kabul edildiği anlamına gelir.</w:t>
      </w:r>
    </w:p>
    <w:p>
      <w:pPr>
        <w:pStyle w:val="Heading1"/>
      </w:pPr>
      <w:r>
        <w:t>24. Uygulanacak Hukuk ve Yetki</w:t>
      </w:r>
    </w:p>
    <w:p>
      <w:r>
        <w:t>Ayrı bir yazılı sözleşmede aksi belirtilmediği sürece bu Şartlar ve bunlardan kaynaklanan sözleşme dışı yükümlülükler İngiltere ve Galler hukukuna tabidir.</w:t>
      </w:r>
    </w:p>
    <w:p>
      <w:r>
        <w:t>Hukuken hariç tutulması mümkün olmayan zorunlu haklar veya yetki kuralları saklı kalmak üzere, bu Şartlardan kaynaklanan veya bunlarla ilgili uyuşmazlıklarda İngiltere ve Galler mahkemeleri münhasır yetkiye sahiptir.</w:t>
      </w:r>
    </w:p>
    <w:p>
      <w:pPr>
        <w:pStyle w:val="Heading1"/>
      </w:pPr>
      <w:r>
        <w:t>25. Genel Hükümler</w:t>
      </w:r>
    </w:p>
    <w:p>
      <w:r>
        <w:t>Bu Şartların herhangi bir hükmünün geçersiz veya uygulanamaz olduğuna karar verilmesi diğer hükümlerin geçerliliğini etkilemez.</w:t>
      </w:r>
    </w:p>
    <w:p>
      <w:r>
        <w:t>Bir hükmün uygulanmaması o hükümden feragat edildiği anlamına gelmez.</w:t>
      </w:r>
    </w:p>
    <w:p>
      <w:r>
        <w:t>Müşteri, izin verilen bir kurumsal yeniden yapılanma veya ilgili işletme varlıklarının esaslı bölümünün devri haricinde, önceden yazılı onayımız olmadan bu Şartlar kapsamındaki hak veya yükümlülüklerini devredemez. Biz bu Şartları birleşme, yeniden yapılanma, satın alma veya ilgili işletmenin devri kapsamında devredebiliriz.</w:t>
      </w:r>
    </w:p>
    <w:p>
      <w:r>
        <w:t>Bu Şartlar, uygulanabilir sipariş formu, sözleşme, DPA ve açıkça atıf yoluyla dahil edilen belgelerle birlikte Hizmetlerin kullanımına uygulanacak sözleşmeyi oluşturur.</w:t>
      </w:r>
    </w:p>
    <w:p>
      <w:r>
        <w:t>Bu Şartların birden fazla dilde sunulması ve çeviriler arasında bir uyumsuzluk ortaya çıkması halinde, uygulanabilir mevzuatın izin verdiği ölçüde İngilizce sürüm esas alınır.</w:t>
      </w:r>
    </w:p>
    <w:p>
      <w:pPr>
        <w:pStyle w:val="Heading1"/>
      </w:pPr>
      <w:r>
        <w:t>26. İletişim</w:t>
      </w:r>
    </w:p>
    <w:p>
      <w:r>
        <w:t>Bu Şartlara ilişkin sorularınızı aşağıdaki iletişim bilgileri üzerinden iletebilirsiniz:</w:t>
      </w:r>
    </w:p>
    <w:p>
      <w:pPr>
        <w:spacing w:after="20"/>
      </w:pPr>
      <w:r>
        <w:rPr>
          <w:b/>
          <w:sz w:val="21"/>
        </w:rPr>
        <w:t>INNOEM LTD</w:t>
      </w:r>
    </w:p>
    <w:p>
      <w:pPr>
        <w:spacing w:after="20"/>
      </w:pPr>
      <w:r>
        <w:rPr>
          <w:b/>
          <w:sz w:val="21"/>
        </w:rPr>
        <w:t>Sustainfinity</w:t>
      </w:r>
    </w:p>
    <w:p>
      <w:pPr>
        <w:spacing w:after="20"/>
      </w:pPr>
      <w:r>
        <w:rPr>
          <w:b w:val="0"/>
          <w:sz w:val="21"/>
        </w:rPr>
        <w:t>Parade Enterprise Centre, Office 2</w:t>
      </w:r>
    </w:p>
    <w:p>
      <w:pPr>
        <w:spacing w:after="20"/>
      </w:pPr>
      <w:r>
        <w:rPr>
          <w:b w:val="0"/>
          <w:sz w:val="21"/>
        </w:rPr>
        <w:t>Chester, CH1 5HN</w:t>
      </w:r>
    </w:p>
    <w:p>
      <w:pPr>
        <w:spacing w:after="20"/>
      </w:pPr>
      <w:r>
        <w:rPr>
          <w:b w:val="0"/>
          <w:sz w:val="21"/>
        </w:rPr>
        <w:t>United Kingdom</w:t>
      </w:r>
    </w:p>
    <w:p>
      <w:pPr>
        <w:spacing w:after="20"/>
      </w:pPr>
      <w:r>
        <w:rPr>
          <w:b w:val="0"/>
          <w:sz w:val="21"/>
        </w:rPr>
        <w:t>E-posta: info@sustainfinity.com</w:t>
      </w:r>
    </w:p>
    <w:sectPr w:rsidR="00FC693F" w:rsidRPr="0006063C" w:rsidSect="00034616">
      <w:headerReference w:type="default" r:id="rId9"/>
      <w:footerReference w:type="default" r:id="rId10"/>
      <w:pgSz w:w="12240" w:h="15840"/>
      <w:pgMar w:top="1080" w:right="1224" w:bottom="1008"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right"/>
    </w:pPr>
    <w:r>
      <w:rPr>
        <w:color w:val="666666"/>
        <w:sz w:val="16"/>
      </w:rPr>
      <w:t xml:space="preserve">Hizmet Şartları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Display" w:hAnsi="Aptos Display"/>
        <w:b/>
        <w:color w:val="F97316"/>
        <w:sz w:val="18"/>
      </w:rPr>
      <w:t>SUSTAINFINITY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color w:val="252525"/>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00"/>
      <w:outlineLvl w:val="0"/>
    </w:pPr>
    <w:rPr>
      <w:rFonts w:asciiTheme="majorHAnsi" w:eastAsiaTheme="majorEastAsia" w:hAnsiTheme="majorHAnsi" w:cstheme="majorBidi" w:ascii="Aptos Display" w:hAnsi="Aptos Display"/>
      <w:b/>
      <w:bCs/>
      <w:color w:val="F97316"/>
      <w:sz w:val="28"/>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Aptos Display" w:hAnsi="Aptos Display"/>
      <w:b/>
      <w:bCs/>
      <w:color w:val="252525"/>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252525"/>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Hizmet Şartları</dc:title>
  <dc:subject>Sustainfinity legal document</dc:subject>
  <dc:creator>INNOEM LTD</dc:creator>
  <cp:keywords/>
  <dc:description>generated by python-docx</dc:description>
  <cp:lastModifiedBy/>
  <cp:revision>1</cp:revision>
  <dcterms:created xsi:type="dcterms:W3CDTF">2013-12-23T23:15:00Z</dcterms:created>
  <dcterms:modified xsi:type="dcterms:W3CDTF">2013-12-23T23:15:00Z</dcterms:modified>
  <cp:category/>
</cp:coreProperties>
</file>